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8B4AF" w14:textId="77777777" w:rsidR="007B0E83" w:rsidRDefault="007B0E83" w:rsidP="00386185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W w:w="114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014"/>
      </w:tblGrid>
      <w:tr w:rsidR="00242325" w:rsidRPr="00D92317" w14:paraId="2757136B" w14:textId="77777777" w:rsidTr="00345EE5">
        <w:tc>
          <w:tcPr>
            <w:tcW w:w="416" w:type="dxa"/>
            <w:vMerge w:val="restart"/>
            <w:shd w:val="clear" w:color="auto" w:fill="BFBFBF"/>
          </w:tcPr>
          <w:p w14:paraId="0FD87B50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1014" w:type="dxa"/>
            <w:shd w:val="clear" w:color="auto" w:fill="BFBFBF"/>
          </w:tcPr>
          <w:p w14:paraId="7EFF6874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General Lesson Information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007FDC50" w14:textId="77777777" w:rsidTr="008B7DB7">
        <w:trPr>
          <w:trHeight w:val="773"/>
        </w:trPr>
        <w:tc>
          <w:tcPr>
            <w:tcW w:w="416" w:type="dxa"/>
            <w:vMerge/>
            <w:shd w:val="clear" w:color="auto" w:fill="BFBFBF"/>
          </w:tcPr>
          <w:p w14:paraId="5290AB4A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1014" w:type="dxa"/>
          </w:tcPr>
          <w:p w14:paraId="1308114C" w14:textId="28B7C923" w:rsidR="00DD0ED0" w:rsidRPr="008B7DB7" w:rsidRDefault="00DD0ED0" w:rsidP="008B7D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8B7DB7">
              <w:rPr>
                <w:sz w:val="20"/>
                <w:szCs w:val="20"/>
              </w:rPr>
              <w:t>Teacher Candidate Name:</w:t>
            </w:r>
            <w:r w:rsidR="00C252E0" w:rsidRPr="008B7DB7">
              <w:rPr>
                <w:sz w:val="20"/>
                <w:szCs w:val="20"/>
              </w:rPr>
              <w:t xml:space="preserve"> Trevor Soiles</w:t>
            </w:r>
          </w:p>
          <w:p w14:paraId="378C5B2A" w14:textId="744EE14C" w:rsidR="00242325" w:rsidRPr="008B7DB7" w:rsidRDefault="00242325" w:rsidP="008B7D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8B7DB7">
              <w:rPr>
                <w:sz w:val="20"/>
                <w:szCs w:val="20"/>
              </w:rPr>
              <w:t>Date &amp; Time Frame of Lesson</w:t>
            </w:r>
            <w:r w:rsidR="00DD0ED0" w:rsidRPr="008B7DB7">
              <w:rPr>
                <w:sz w:val="20"/>
                <w:szCs w:val="20"/>
              </w:rPr>
              <w:t>:</w:t>
            </w:r>
            <w:r w:rsidR="00C252E0" w:rsidRPr="008B7DB7">
              <w:rPr>
                <w:sz w:val="20"/>
                <w:szCs w:val="20"/>
              </w:rPr>
              <w:t xml:space="preserve"> 10/30/2020 9:00 am </w:t>
            </w:r>
            <w:r w:rsidR="00EA3821" w:rsidRPr="008B7DB7">
              <w:rPr>
                <w:sz w:val="20"/>
                <w:szCs w:val="20"/>
              </w:rPr>
              <w:t>–</w:t>
            </w:r>
            <w:r w:rsidR="00C252E0" w:rsidRPr="008B7DB7">
              <w:rPr>
                <w:sz w:val="20"/>
                <w:szCs w:val="20"/>
              </w:rPr>
              <w:t xml:space="preserve"> </w:t>
            </w:r>
            <w:r w:rsidR="00EA3821" w:rsidRPr="008B7DB7">
              <w:rPr>
                <w:sz w:val="20"/>
                <w:szCs w:val="20"/>
              </w:rPr>
              <w:t>10:00 am</w:t>
            </w:r>
          </w:p>
          <w:p w14:paraId="1E9229D6" w14:textId="05B92098" w:rsidR="00242325" w:rsidRPr="008B7DB7" w:rsidRDefault="00242325" w:rsidP="008B7D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8B7DB7">
              <w:rPr>
                <w:sz w:val="20"/>
                <w:szCs w:val="20"/>
              </w:rPr>
              <w:t>Title</w:t>
            </w:r>
            <w:r w:rsidR="00DD0ED0" w:rsidRPr="008B7DB7">
              <w:rPr>
                <w:sz w:val="20"/>
                <w:szCs w:val="20"/>
              </w:rPr>
              <w:t>:</w:t>
            </w:r>
            <w:r w:rsidRPr="008B7DB7">
              <w:rPr>
                <w:sz w:val="20"/>
                <w:szCs w:val="20"/>
              </w:rPr>
              <w:t xml:space="preserve"> </w:t>
            </w:r>
            <w:r w:rsidR="002906F8" w:rsidRPr="008B7DB7">
              <w:rPr>
                <w:sz w:val="20"/>
                <w:szCs w:val="20"/>
              </w:rPr>
              <w:t xml:space="preserve">Intro to </w:t>
            </w:r>
            <w:r w:rsidR="00EA3821" w:rsidRPr="008B7DB7">
              <w:rPr>
                <w:sz w:val="20"/>
                <w:szCs w:val="20"/>
              </w:rPr>
              <w:t>Theme</w:t>
            </w:r>
          </w:p>
          <w:p w14:paraId="685BA678" w14:textId="7E9CE12A" w:rsidR="00242325" w:rsidRPr="008B7DB7" w:rsidRDefault="00242325" w:rsidP="008B7D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8B7DB7">
              <w:rPr>
                <w:sz w:val="20"/>
                <w:szCs w:val="20"/>
              </w:rPr>
              <w:t>Grade Level</w:t>
            </w:r>
            <w:r w:rsidR="00DD0ED0" w:rsidRPr="008B7DB7">
              <w:rPr>
                <w:sz w:val="20"/>
                <w:szCs w:val="20"/>
              </w:rPr>
              <w:t>:</w:t>
            </w:r>
            <w:r w:rsidR="00EA3821" w:rsidRPr="008B7DB7">
              <w:rPr>
                <w:sz w:val="20"/>
                <w:szCs w:val="20"/>
              </w:rPr>
              <w:t xml:space="preserve"> 4</w:t>
            </w:r>
            <w:r w:rsidR="00EA3821" w:rsidRPr="008B7DB7">
              <w:rPr>
                <w:sz w:val="20"/>
                <w:szCs w:val="20"/>
                <w:vertAlign w:val="superscript"/>
              </w:rPr>
              <w:t>th</w:t>
            </w:r>
            <w:r w:rsidR="00EA3821" w:rsidRPr="008B7DB7">
              <w:rPr>
                <w:sz w:val="20"/>
                <w:szCs w:val="20"/>
              </w:rPr>
              <w:t xml:space="preserve"> Grade</w:t>
            </w:r>
          </w:p>
          <w:p w14:paraId="1F0E3E7C" w14:textId="00F1D022" w:rsidR="00DD0ED0" w:rsidRPr="008B7DB7" w:rsidRDefault="00DD0ED0" w:rsidP="008B7DB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16"/>
                <w:szCs w:val="16"/>
              </w:rPr>
            </w:pPr>
            <w:r w:rsidRPr="008B7DB7">
              <w:rPr>
                <w:sz w:val="20"/>
                <w:szCs w:val="20"/>
              </w:rPr>
              <w:t>Subject Area:</w:t>
            </w:r>
            <w:r w:rsidR="00EA3821" w:rsidRPr="008B7DB7">
              <w:rPr>
                <w:sz w:val="20"/>
                <w:szCs w:val="20"/>
              </w:rPr>
              <w:t xml:space="preserve"> ELA</w:t>
            </w:r>
          </w:p>
        </w:tc>
      </w:tr>
      <w:tr w:rsidR="00242325" w:rsidRPr="00D92317" w14:paraId="1150A4FE" w14:textId="77777777" w:rsidTr="00345EE5">
        <w:tc>
          <w:tcPr>
            <w:tcW w:w="416" w:type="dxa"/>
            <w:vMerge w:val="restart"/>
            <w:shd w:val="clear" w:color="auto" w:fill="BFBFBF"/>
          </w:tcPr>
          <w:p w14:paraId="4433A48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2.</w:t>
            </w:r>
          </w:p>
        </w:tc>
        <w:tc>
          <w:tcPr>
            <w:tcW w:w="11014" w:type="dxa"/>
            <w:shd w:val="clear" w:color="auto" w:fill="BFBFBF"/>
          </w:tcPr>
          <w:p w14:paraId="0C3CBDF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Standards &amp; Bench Marks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54EE8429" w14:textId="77777777" w:rsidTr="008B7DB7">
        <w:trPr>
          <w:trHeight w:val="1466"/>
        </w:trPr>
        <w:tc>
          <w:tcPr>
            <w:tcW w:w="416" w:type="dxa"/>
            <w:vMerge/>
            <w:shd w:val="clear" w:color="auto" w:fill="BFBFBF"/>
          </w:tcPr>
          <w:p w14:paraId="5DD66C34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014" w:type="dxa"/>
          </w:tcPr>
          <w:p w14:paraId="133F1EC7" w14:textId="35C3FE47" w:rsidR="00242325" w:rsidRPr="0096616E" w:rsidRDefault="00242325" w:rsidP="008B7DB7">
            <w:pPr>
              <w:spacing w:after="0" w:line="240" w:lineRule="auto"/>
            </w:pPr>
            <w:r w:rsidRPr="0096616E">
              <w:t>Standa</w:t>
            </w:r>
            <w:r w:rsidR="00FF4B24" w:rsidRPr="0096616E">
              <w:t>rd appropriate to the lesson:</w:t>
            </w:r>
            <w:r w:rsidR="00EA3821">
              <w:t xml:space="preserve"> </w:t>
            </w:r>
            <w:r w:rsidR="002906F8">
              <w:t>RL.4.2</w:t>
            </w:r>
          </w:p>
          <w:p w14:paraId="778C79B4" w14:textId="714F9582" w:rsidR="00242325" w:rsidRPr="0096616E" w:rsidRDefault="00FF4B24" w:rsidP="008B7DB7">
            <w:pPr>
              <w:spacing w:after="0" w:line="240" w:lineRule="auto"/>
            </w:pPr>
            <w:r w:rsidRPr="0096616E">
              <w:t>Standard fully cited:</w:t>
            </w:r>
            <w:r w:rsidR="002906F8">
              <w:t xml:space="preserve"> </w:t>
            </w:r>
            <w:r w:rsidR="002906F8" w:rsidRPr="008B7DB7">
              <w:rPr>
                <w:u w:val="single"/>
              </w:rPr>
              <w:t>Determine a theme of a story</w:t>
            </w:r>
            <w:r w:rsidR="002906F8">
              <w:t xml:space="preserve">, drama, or poem </w:t>
            </w:r>
            <w:r w:rsidR="002906F8" w:rsidRPr="008B7DB7">
              <w:rPr>
                <w:u w:val="single"/>
              </w:rPr>
              <w:t>from details in the text</w:t>
            </w:r>
            <w:r w:rsidR="002906F8">
              <w:t>; summarize the text.</w:t>
            </w:r>
          </w:p>
          <w:p w14:paraId="3EC98B37" w14:textId="62C15A37" w:rsidR="00242325" w:rsidRPr="00D92317" w:rsidRDefault="00FF4B24" w:rsidP="008B7DB7">
            <w:pPr>
              <w:spacing w:after="0" w:line="240" w:lineRule="auto"/>
            </w:pPr>
            <w:r w:rsidRPr="0096616E">
              <w:t>Rationale for selecting standard:</w:t>
            </w:r>
            <w:r w:rsidR="002906F8">
              <w:t xml:space="preserve"> I am introducing/teaching this standard based on my CT’s standard progression of learning. Th</w:t>
            </w:r>
            <w:r w:rsidR="00832C90">
              <w:t>is</w:t>
            </w:r>
            <w:r w:rsidR="002906F8">
              <w:t xml:space="preserve"> standard is also next </w:t>
            </w:r>
            <w:r w:rsidR="004B6EE3">
              <w:t>in the sequence of standards outlined by the Belen Consolidated Schools district learning plan.</w:t>
            </w:r>
            <w:r w:rsidR="00053B86">
              <w:t xml:space="preserve"> The portion of the standard that is underlined is what my lesson-introduction will focus on. </w:t>
            </w:r>
          </w:p>
        </w:tc>
      </w:tr>
      <w:tr w:rsidR="00242325" w:rsidRPr="00D92317" w14:paraId="56863B36" w14:textId="77777777" w:rsidTr="00345EE5">
        <w:tc>
          <w:tcPr>
            <w:tcW w:w="416" w:type="dxa"/>
            <w:vMerge w:val="restart"/>
            <w:shd w:val="clear" w:color="auto" w:fill="BFBFBF"/>
          </w:tcPr>
          <w:p w14:paraId="5D51082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3.</w:t>
            </w:r>
          </w:p>
        </w:tc>
        <w:tc>
          <w:tcPr>
            <w:tcW w:w="11014" w:type="dxa"/>
            <w:shd w:val="clear" w:color="auto" w:fill="BFBFBF"/>
          </w:tcPr>
          <w:p w14:paraId="08B302FC" w14:textId="5C15124A" w:rsidR="00242325" w:rsidRPr="00D92317" w:rsidRDefault="00AB5898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Goals &amp; O</w:t>
            </w:r>
            <w:r w:rsidR="002E65C8">
              <w:rPr>
                <w:rFonts w:ascii="Arial Rounded MT Bold" w:hAnsi="Arial Rounded MT Bold"/>
                <w:b/>
              </w:rPr>
              <w:t>bjectives of the Lesson</w:t>
            </w:r>
            <w:r w:rsidR="00242325"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7EE96A7F" w14:textId="77777777" w:rsidTr="008B7DB7">
        <w:trPr>
          <w:trHeight w:val="1070"/>
        </w:trPr>
        <w:tc>
          <w:tcPr>
            <w:tcW w:w="416" w:type="dxa"/>
            <w:vMerge/>
            <w:shd w:val="clear" w:color="auto" w:fill="BFBFBF"/>
          </w:tcPr>
          <w:p w14:paraId="769A7343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014" w:type="dxa"/>
          </w:tcPr>
          <w:p w14:paraId="3C0AA1AE" w14:textId="76042BDE" w:rsidR="00BF754F" w:rsidRPr="0096616E" w:rsidRDefault="00053B86" w:rsidP="008B7DB7">
            <w:pPr>
              <w:spacing w:after="0" w:line="240" w:lineRule="auto"/>
            </w:pPr>
            <w:r>
              <w:t xml:space="preserve">This lesson is meant to be an introduction to the standard for the coming week. </w:t>
            </w:r>
            <w:r w:rsidR="00E67B27">
              <w:t>In this lesson the students will be given resources that will both prepare them and aid them in their understanding for the upcoming week. This is a crucial step in preparing this group of students (cohort B) for their remote instruction on Monday, Tuesday, and Thursday. This lesson will include a heavy focus on discussion and connection to prior knowledge bases.</w:t>
            </w:r>
          </w:p>
        </w:tc>
      </w:tr>
      <w:tr w:rsidR="00242325" w:rsidRPr="00D92317" w14:paraId="44175712" w14:textId="77777777" w:rsidTr="00345EE5">
        <w:tc>
          <w:tcPr>
            <w:tcW w:w="416" w:type="dxa"/>
            <w:vMerge w:val="restart"/>
            <w:shd w:val="clear" w:color="auto" w:fill="BFBFBF"/>
          </w:tcPr>
          <w:p w14:paraId="5BA7859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4.</w:t>
            </w:r>
          </w:p>
        </w:tc>
        <w:tc>
          <w:tcPr>
            <w:tcW w:w="11014" w:type="dxa"/>
            <w:shd w:val="clear" w:color="auto" w:fill="BFBFBF"/>
          </w:tcPr>
          <w:p w14:paraId="44BDE56D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Preparation</w:t>
            </w:r>
          </w:p>
        </w:tc>
      </w:tr>
      <w:tr w:rsidR="00242325" w:rsidRPr="00D92317" w14:paraId="4916A868" w14:textId="77777777" w:rsidTr="008B7DB7">
        <w:trPr>
          <w:trHeight w:val="2699"/>
        </w:trPr>
        <w:tc>
          <w:tcPr>
            <w:tcW w:w="416" w:type="dxa"/>
            <w:vMerge/>
            <w:shd w:val="clear" w:color="auto" w:fill="BFBFBF"/>
          </w:tcPr>
          <w:p w14:paraId="4E742A86" w14:textId="77777777" w:rsidR="00242325" w:rsidRPr="00D92317" w:rsidRDefault="00242325" w:rsidP="007B0E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1014" w:type="dxa"/>
          </w:tcPr>
          <w:p w14:paraId="5990407A" w14:textId="77777777" w:rsidR="00242325" w:rsidRPr="0096616E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Materials</w:t>
            </w:r>
            <w:r w:rsidR="00103B18" w:rsidRPr="0096616E">
              <w:rPr>
                <w:b/>
              </w:rPr>
              <w:t xml:space="preserve"> and resources</w:t>
            </w:r>
          </w:p>
          <w:p w14:paraId="0E067472" w14:textId="10D8ECCB" w:rsidR="00242325" w:rsidRPr="0096616E" w:rsidRDefault="00AA6CDB" w:rsidP="008B7DB7">
            <w:pPr>
              <w:spacing w:after="0" w:line="240" w:lineRule="auto"/>
            </w:pPr>
            <w:r>
              <w:t xml:space="preserve">Interactive notebooks, </w:t>
            </w:r>
            <w:r w:rsidR="00981F54">
              <w:t xml:space="preserve">Ready Common Core book, </w:t>
            </w:r>
            <w:r>
              <w:t xml:space="preserve">Interactive teacher toolbox, crayons/colored pencils, glue sticks. </w:t>
            </w:r>
          </w:p>
          <w:p w14:paraId="28ADF103" w14:textId="4CDC56CB" w:rsidR="0024232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The Environment</w:t>
            </w:r>
          </w:p>
          <w:p w14:paraId="3BFA7CC4" w14:textId="555C7D7D" w:rsidR="00AA6CDB" w:rsidRPr="008B7DB7" w:rsidRDefault="00AA6CDB" w:rsidP="008B7DB7">
            <w:pPr>
              <w:spacing w:after="0" w:line="240" w:lineRule="auto"/>
              <w:rPr>
                <w:bCs/>
              </w:rPr>
            </w:pPr>
            <w:r w:rsidRPr="008B7DB7">
              <w:rPr>
                <w:bCs/>
              </w:rPr>
              <w:t xml:space="preserve">I will encourage a highly participatory environment that aligns with current classroom norms (raising hands, not interrupting, being an active listener, etc.). The students will be in their </w:t>
            </w:r>
            <w:r w:rsidR="00981F54" w:rsidRPr="008B7DB7">
              <w:rPr>
                <w:bCs/>
              </w:rPr>
              <w:t>desks 6 ft apart maintaining a learning position or standing to help encourage focus and attention.</w:t>
            </w:r>
          </w:p>
          <w:p w14:paraId="72AD1EE0" w14:textId="41AC4DAF" w:rsidR="007961E5" w:rsidRDefault="007961E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Technology</w:t>
            </w:r>
          </w:p>
          <w:p w14:paraId="3343BF82" w14:textId="764796CE" w:rsidR="00DF51FA" w:rsidRPr="008B7DB7" w:rsidRDefault="00981F54" w:rsidP="008B7DB7">
            <w:pPr>
              <w:spacing w:after="0" w:line="240" w:lineRule="auto"/>
              <w:rPr>
                <w:bCs/>
              </w:rPr>
            </w:pPr>
            <w:r w:rsidRPr="008B7DB7">
              <w:rPr>
                <w:bCs/>
              </w:rPr>
              <w:t xml:space="preserve">For this intro lesson I will be utilizing the projector and document cameras. I will use the projector for the interactive teacher toolbox video that helps to connect with students prior understanding and bridges language gaps through the defining aspects of the interactive video. </w:t>
            </w:r>
          </w:p>
        </w:tc>
      </w:tr>
      <w:tr w:rsidR="00242325" w:rsidRPr="00D92317" w14:paraId="5421A18E" w14:textId="77777777" w:rsidTr="008B7DB7">
        <w:trPr>
          <w:trHeight w:val="323"/>
        </w:trPr>
        <w:tc>
          <w:tcPr>
            <w:tcW w:w="416" w:type="dxa"/>
            <w:vMerge w:val="restart"/>
            <w:shd w:val="clear" w:color="auto" w:fill="BFBFBF"/>
          </w:tcPr>
          <w:p w14:paraId="054770E1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5.</w:t>
            </w:r>
          </w:p>
        </w:tc>
        <w:tc>
          <w:tcPr>
            <w:tcW w:w="11014" w:type="dxa"/>
            <w:shd w:val="clear" w:color="auto" w:fill="BFBFBF"/>
          </w:tcPr>
          <w:p w14:paraId="20C22C1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Instructional Procedures</w:t>
            </w:r>
            <w:r w:rsidR="00155693">
              <w:rPr>
                <w:rFonts w:ascii="Arial Rounded MT Bold" w:hAnsi="Arial Rounded MT Bold"/>
                <w:b/>
              </w:rPr>
              <w:t xml:space="preserve"> </w:t>
            </w:r>
            <w:r w:rsidR="00155693" w:rsidRPr="0096616E">
              <w:rPr>
                <w:rFonts w:ascii="Arial Rounded MT Bold" w:hAnsi="Arial Rounded MT Bold"/>
                <w:b/>
              </w:rPr>
              <w:t>(Flexible depending on preferred content model of teaching)</w:t>
            </w:r>
          </w:p>
        </w:tc>
      </w:tr>
      <w:tr w:rsidR="00242325" w:rsidRPr="00D92317" w14:paraId="48264DB4" w14:textId="77777777" w:rsidTr="00345EE5">
        <w:tc>
          <w:tcPr>
            <w:tcW w:w="416" w:type="dxa"/>
            <w:vMerge/>
            <w:shd w:val="clear" w:color="auto" w:fill="BFBFBF"/>
          </w:tcPr>
          <w:p w14:paraId="293F9775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1014" w:type="dxa"/>
          </w:tcPr>
          <w:p w14:paraId="07A2394D" w14:textId="59606CB8" w:rsidR="00242325" w:rsidRPr="003621EE" w:rsidRDefault="00FA68B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Introduction (</w:t>
            </w:r>
            <w:r w:rsidR="00A607B2">
              <w:rPr>
                <w:b/>
              </w:rPr>
              <w:t>15</w:t>
            </w:r>
            <w:r w:rsidR="00981F54">
              <w:rPr>
                <w:b/>
              </w:rPr>
              <w:t xml:space="preserve"> minutes</w:t>
            </w:r>
            <w:r w:rsidRPr="003621EE">
              <w:rPr>
                <w:b/>
              </w:rPr>
              <w:t>)</w:t>
            </w:r>
          </w:p>
          <w:p w14:paraId="461FAC6B" w14:textId="05431BC8" w:rsidR="0096616E" w:rsidRPr="00386185" w:rsidRDefault="00981F54" w:rsidP="008B7DB7">
            <w:pPr>
              <w:spacing w:after="0" w:line="240" w:lineRule="auto"/>
            </w:pPr>
            <w:r>
              <w:t>This portion of the lesson will be targeted at repour building. This will be done through a discussion where I will set the tone for the lesson by modeling respect</w:t>
            </w:r>
            <w:r w:rsidR="00F53B0D">
              <w:t>. This same modeled respect is what I will</w:t>
            </w:r>
            <w:r>
              <w:t xml:space="preserve"> expect </w:t>
            </w:r>
            <w:r w:rsidR="00F53B0D">
              <w:t>students</w:t>
            </w:r>
            <w:r>
              <w:t xml:space="preserve"> </w:t>
            </w:r>
            <w:r w:rsidR="00F53B0D">
              <w:t>to show</w:t>
            </w:r>
            <w:r>
              <w:t xml:space="preserve"> me and </w:t>
            </w:r>
            <w:r w:rsidR="00F53B0D">
              <w:t>their peers</w:t>
            </w:r>
            <w:r>
              <w:t xml:space="preserve"> throughout the lesson. I will guide the discussion </w:t>
            </w:r>
            <w:r w:rsidR="00A91F94">
              <w:t>into introducing the standard “</w:t>
            </w:r>
            <w:r w:rsidR="00A91F94" w:rsidRPr="008B7DB7">
              <w:rPr>
                <w:i/>
                <w:iCs/>
              </w:rPr>
              <w:t>Theme”</w:t>
            </w:r>
            <w:r w:rsidR="00974955">
              <w:t xml:space="preserve"> and connect to their prior knowledge.</w:t>
            </w:r>
          </w:p>
        </w:tc>
      </w:tr>
      <w:tr w:rsidR="00242325" w:rsidRPr="00D92317" w14:paraId="65C30E3A" w14:textId="77777777" w:rsidTr="00345EE5">
        <w:tc>
          <w:tcPr>
            <w:tcW w:w="416" w:type="dxa"/>
            <w:vMerge/>
            <w:shd w:val="clear" w:color="auto" w:fill="BFBFBF"/>
          </w:tcPr>
          <w:p w14:paraId="007FBB26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1014" w:type="dxa"/>
          </w:tcPr>
          <w:p w14:paraId="3F3B6298" w14:textId="0FA1D709" w:rsidR="00242325" w:rsidRPr="0038618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86185">
              <w:rPr>
                <w:b/>
              </w:rPr>
              <w:t>Instruction</w:t>
            </w:r>
            <w:r w:rsidR="00FA68B5" w:rsidRPr="00386185">
              <w:rPr>
                <w:b/>
              </w:rPr>
              <w:t xml:space="preserve"> (</w:t>
            </w:r>
            <w:r w:rsidR="00A607B2">
              <w:rPr>
                <w:b/>
              </w:rPr>
              <w:t>25</w:t>
            </w:r>
            <w:r w:rsidR="00A91F94">
              <w:rPr>
                <w:b/>
              </w:rPr>
              <w:t xml:space="preserve"> minutes</w:t>
            </w:r>
            <w:r w:rsidR="00FA68B5" w:rsidRPr="00386185">
              <w:rPr>
                <w:b/>
              </w:rPr>
              <w:t>)</w:t>
            </w:r>
          </w:p>
          <w:p w14:paraId="3B2DC3F3" w14:textId="2D066E8C" w:rsidR="00242325" w:rsidRPr="008B7DB7" w:rsidRDefault="00A91F94" w:rsidP="008B7DB7">
            <w:pPr>
              <w:spacing w:after="0" w:line="240" w:lineRule="auto"/>
              <w:rPr>
                <w:sz w:val="20"/>
              </w:rPr>
            </w:pPr>
            <w:r w:rsidRPr="008B7DB7">
              <w:t>Here I will draw the student</w:t>
            </w:r>
            <w:r w:rsidR="00345EE5" w:rsidRPr="008B7DB7">
              <w:t>’</w:t>
            </w:r>
            <w:r w:rsidRPr="008B7DB7">
              <w:t xml:space="preserve">s attention to the standard </w:t>
            </w:r>
            <w:r w:rsidR="0047141C" w:rsidRPr="008B7DB7">
              <w:t xml:space="preserve">board </w:t>
            </w:r>
            <w:r w:rsidRPr="008B7DB7">
              <w:t xml:space="preserve">that I will </w:t>
            </w:r>
            <w:r w:rsidR="0047141C" w:rsidRPr="008B7DB7">
              <w:t xml:space="preserve">then </w:t>
            </w:r>
            <w:r w:rsidRPr="008B7DB7">
              <w:t>read aloud.</w:t>
            </w:r>
            <w:r w:rsidR="0047141C" w:rsidRPr="008B7DB7">
              <w:t xml:space="preserve"> Then the students will use crayons or colored pencils to write a theme connection into their interactive journal</w:t>
            </w:r>
            <w:r w:rsidR="00A524DA" w:rsidRPr="008B7DB7">
              <w:t>s</w:t>
            </w:r>
            <w:r w:rsidR="0047141C" w:rsidRPr="008B7DB7">
              <w:t>. After this,</w:t>
            </w:r>
            <w:r w:rsidR="00345EE5" w:rsidRPr="008B7DB7">
              <w:t xml:space="preserve"> students will glu</w:t>
            </w:r>
            <w:r w:rsidR="0047141C" w:rsidRPr="008B7DB7">
              <w:t>e a resource in their interactive journals.</w:t>
            </w:r>
            <w:r w:rsidR="00A524DA" w:rsidRPr="008B7DB7">
              <w:t xml:space="preserve"> Then, using the projector and doc camera I will display a theme connection resource that students will then copy into their interactive journals. Lastly, I will project the student interactive video from teacher toolbox. </w:t>
            </w:r>
          </w:p>
        </w:tc>
      </w:tr>
      <w:tr w:rsidR="00242325" w:rsidRPr="00D92317" w14:paraId="39B22463" w14:textId="77777777" w:rsidTr="00345EE5">
        <w:tc>
          <w:tcPr>
            <w:tcW w:w="416" w:type="dxa"/>
            <w:vMerge/>
            <w:shd w:val="clear" w:color="auto" w:fill="BFBFBF"/>
          </w:tcPr>
          <w:p w14:paraId="0705B5D1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1014" w:type="dxa"/>
          </w:tcPr>
          <w:p w14:paraId="42952F56" w14:textId="4F712637" w:rsidR="00D62890" w:rsidRPr="003621EE" w:rsidRDefault="00D62890" w:rsidP="007B0E83">
            <w:pPr>
              <w:pStyle w:val="ListParagraph"/>
              <w:spacing w:after="0" w:line="240" w:lineRule="auto"/>
              <w:ind w:left="0"/>
            </w:pPr>
            <w:r w:rsidRPr="003621EE">
              <w:rPr>
                <w:b/>
              </w:rPr>
              <w:t>Closure</w:t>
            </w:r>
            <w:r w:rsidR="00A607B2">
              <w:rPr>
                <w:b/>
              </w:rPr>
              <w:t xml:space="preserve"> (20 minutes)</w:t>
            </w:r>
          </w:p>
          <w:p w14:paraId="3EDCDA5E" w14:textId="6A52BA8B" w:rsidR="00242325" w:rsidRPr="008B7DB7" w:rsidRDefault="00A524DA" w:rsidP="008B7DB7">
            <w:pPr>
              <w:spacing w:after="0" w:line="240" w:lineRule="auto"/>
              <w:rPr>
                <w:sz w:val="20"/>
              </w:rPr>
            </w:pPr>
            <w:r w:rsidRPr="008B7DB7">
              <w:rPr>
                <w:szCs w:val="24"/>
              </w:rPr>
              <w:t xml:space="preserve">To close this </w:t>
            </w:r>
            <w:r w:rsidR="00A607B2" w:rsidRPr="008B7DB7">
              <w:rPr>
                <w:szCs w:val="24"/>
              </w:rPr>
              <w:t>standard preview/ intro lesson</w:t>
            </w:r>
            <w:r w:rsidRPr="008B7DB7">
              <w:rPr>
                <w:szCs w:val="24"/>
              </w:rPr>
              <w:t xml:space="preserve"> </w:t>
            </w:r>
            <w:r w:rsidR="00A607B2" w:rsidRPr="008B7DB7">
              <w:rPr>
                <w:szCs w:val="24"/>
              </w:rPr>
              <w:t xml:space="preserve">I will preview the stories students will be taught virtually Monday-Wednesday. This will allow for discussion and student input where learners will begin to build their understanding of theme and preparing them for their remote instruction. </w:t>
            </w:r>
          </w:p>
        </w:tc>
      </w:tr>
      <w:tr w:rsidR="00242325" w:rsidRPr="00D92317" w14:paraId="6A469408" w14:textId="77777777" w:rsidTr="008B7DB7">
        <w:trPr>
          <w:trHeight w:val="188"/>
        </w:trPr>
        <w:tc>
          <w:tcPr>
            <w:tcW w:w="416" w:type="dxa"/>
            <w:vMerge w:val="restart"/>
            <w:shd w:val="clear" w:color="auto" w:fill="BFBFBF"/>
          </w:tcPr>
          <w:p w14:paraId="022AB47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6.</w:t>
            </w:r>
          </w:p>
        </w:tc>
        <w:tc>
          <w:tcPr>
            <w:tcW w:w="11014" w:type="dxa"/>
            <w:shd w:val="clear" w:color="auto" w:fill="BFBFBF"/>
          </w:tcPr>
          <w:p w14:paraId="3B594205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Assessment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3504D093" w14:textId="77777777" w:rsidTr="00345EE5">
        <w:tc>
          <w:tcPr>
            <w:tcW w:w="416" w:type="dxa"/>
            <w:vMerge/>
            <w:shd w:val="clear" w:color="auto" w:fill="BFBFBF"/>
          </w:tcPr>
          <w:p w14:paraId="30A9DC10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1014" w:type="dxa"/>
          </w:tcPr>
          <w:p w14:paraId="76339C6C" w14:textId="772E51E8" w:rsidR="00382640" w:rsidRPr="00386185" w:rsidRDefault="000D0A89" w:rsidP="008B7DB7">
            <w:pPr>
              <w:spacing w:after="0" w:line="240" w:lineRule="auto"/>
            </w:pPr>
            <w:r w:rsidRPr="008B7DB7">
              <w:t>For this lesson since it is a standard introduction and will be discussion oriented the assessment will be almost completely informal. My primary informal assessment i</w:t>
            </w:r>
            <w:r w:rsidR="00E375C9" w:rsidRPr="008B7DB7">
              <w:t xml:space="preserve">s </w:t>
            </w:r>
            <w:r w:rsidRPr="008B7DB7">
              <w:t>a “hidden thumbs” check</w:t>
            </w:r>
            <w:r w:rsidR="00E375C9" w:rsidRPr="008B7DB7">
              <w:t xml:space="preserve">. I use this assessment as a valid was for checking the students understanding/confidence check. </w:t>
            </w:r>
          </w:p>
        </w:tc>
      </w:tr>
    </w:tbl>
    <w:p w14:paraId="42AB6F10" w14:textId="7E5054A1" w:rsidR="009456B1" w:rsidRPr="009456B1" w:rsidRDefault="009456B1" w:rsidP="00345EE5">
      <w:pPr>
        <w:spacing w:after="0" w:line="240" w:lineRule="auto"/>
      </w:pPr>
    </w:p>
    <w:sectPr w:rsidR="009456B1" w:rsidRPr="009456B1" w:rsidSect="000E62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ED317" w14:textId="77777777" w:rsidR="000C0853" w:rsidRDefault="000C0853" w:rsidP="00386185">
      <w:pPr>
        <w:spacing w:after="0" w:line="240" w:lineRule="auto"/>
      </w:pPr>
      <w:r>
        <w:separator/>
      </w:r>
    </w:p>
  </w:endnote>
  <w:endnote w:type="continuationSeparator" w:id="0">
    <w:p w14:paraId="03447DF4" w14:textId="77777777" w:rsidR="000C0853" w:rsidRDefault="000C0853" w:rsidP="003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4D2C2" w14:textId="77777777" w:rsidR="000C0853" w:rsidRDefault="000C0853" w:rsidP="00386185">
      <w:pPr>
        <w:spacing w:after="0" w:line="240" w:lineRule="auto"/>
      </w:pPr>
      <w:r>
        <w:separator/>
      </w:r>
    </w:p>
  </w:footnote>
  <w:footnote w:type="continuationSeparator" w:id="0">
    <w:p w14:paraId="2EEF262F" w14:textId="77777777" w:rsidR="000C0853" w:rsidRDefault="000C0853" w:rsidP="003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6981A" w14:textId="002A15B4" w:rsidR="00A100A0" w:rsidRPr="00C252E0" w:rsidRDefault="00F53B0D" w:rsidP="00C252E0">
    <w:pPr>
      <w:pStyle w:val="Header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ELA </w:t>
    </w:r>
    <w:r w:rsidR="00C252E0" w:rsidRPr="00C252E0">
      <w:rPr>
        <w:rFonts w:ascii="Times New Roman" w:hAnsi="Times New Roman"/>
        <w:b/>
        <w:bCs/>
        <w:sz w:val="28"/>
        <w:szCs w:val="28"/>
      </w:rPr>
      <w:t>Lesson Plan (10/30/2020) Observation #2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614"/>
    <w:multiLevelType w:val="hybridMultilevel"/>
    <w:tmpl w:val="6CA8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264"/>
    <w:multiLevelType w:val="hybridMultilevel"/>
    <w:tmpl w:val="0A6C424E"/>
    <w:lvl w:ilvl="0" w:tplc="64C07E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1D3"/>
    <w:multiLevelType w:val="hybridMultilevel"/>
    <w:tmpl w:val="D966BC8E"/>
    <w:lvl w:ilvl="0" w:tplc="395E462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43960"/>
    <w:multiLevelType w:val="hybridMultilevel"/>
    <w:tmpl w:val="B9D4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0252"/>
    <w:multiLevelType w:val="hybridMultilevel"/>
    <w:tmpl w:val="6D9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11F"/>
    <w:multiLevelType w:val="hybridMultilevel"/>
    <w:tmpl w:val="00A4D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6EBB"/>
    <w:multiLevelType w:val="hybridMultilevel"/>
    <w:tmpl w:val="86D4EDA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3AC00619"/>
    <w:multiLevelType w:val="hybridMultilevel"/>
    <w:tmpl w:val="297A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6207"/>
    <w:multiLevelType w:val="hybridMultilevel"/>
    <w:tmpl w:val="AF76ED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C81D86"/>
    <w:multiLevelType w:val="hybridMultilevel"/>
    <w:tmpl w:val="C6BC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52DCC"/>
    <w:multiLevelType w:val="hybridMultilevel"/>
    <w:tmpl w:val="606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473CF"/>
    <w:multiLevelType w:val="hybridMultilevel"/>
    <w:tmpl w:val="4F18D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3F5999"/>
    <w:multiLevelType w:val="hybridMultilevel"/>
    <w:tmpl w:val="3D5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94CC7"/>
    <w:multiLevelType w:val="hybridMultilevel"/>
    <w:tmpl w:val="BE7C1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2F259D"/>
    <w:multiLevelType w:val="hybridMultilevel"/>
    <w:tmpl w:val="4764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B53C1"/>
    <w:multiLevelType w:val="hybridMultilevel"/>
    <w:tmpl w:val="AB4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27808"/>
    <w:multiLevelType w:val="hybridMultilevel"/>
    <w:tmpl w:val="784A464E"/>
    <w:lvl w:ilvl="0" w:tplc="9A5664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80B07"/>
    <w:multiLevelType w:val="hybridMultilevel"/>
    <w:tmpl w:val="5ADE6C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91099"/>
    <w:multiLevelType w:val="hybridMultilevel"/>
    <w:tmpl w:val="D85CD3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064C8"/>
    <w:multiLevelType w:val="hybridMultilevel"/>
    <w:tmpl w:val="773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42B9D"/>
    <w:multiLevelType w:val="hybridMultilevel"/>
    <w:tmpl w:val="42DEB3E0"/>
    <w:lvl w:ilvl="0" w:tplc="544098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0DFB"/>
    <w:multiLevelType w:val="hybridMultilevel"/>
    <w:tmpl w:val="77CAF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5"/>
  </w:num>
  <w:num w:numId="5">
    <w:abstractNumId w:val="18"/>
  </w:num>
  <w:num w:numId="6">
    <w:abstractNumId w:val="1"/>
  </w:num>
  <w:num w:numId="7">
    <w:abstractNumId w:val="20"/>
  </w:num>
  <w:num w:numId="8">
    <w:abstractNumId w:val="2"/>
  </w:num>
  <w:num w:numId="9">
    <w:abstractNumId w:val="17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  <w:num w:numId="15">
    <w:abstractNumId w:val="14"/>
  </w:num>
  <w:num w:numId="16">
    <w:abstractNumId w:val="9"/>
  </w:num>
  <w:num w:numId="17">
    <w:abstractNumId w:val="0"/>
  </w:num>
  <w:num w:numId="18">
    <w:abstractNumId w:val="15"/>
  </w:num>
  <w:num w:numId="19">
    <w:abstractNumId w:val="4"/>
  </w:num>
  <w:num w:numId="20">
    <w:abstractNumId w:val="7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8"/>
    <w:rsid w:val="00053B86"/>
    <w:rsid w:val="000C0853"/>
    <w:rsid w:val="000D0A89"/>
    <w:rsid w:val="000E6208"/>
    <w:rsid w:val="00103B18"/>
    <w:rsid w:val="00155693"/>
    <w:rsid w:val="00242325"/>
    <w:rsid w:val="002906F8"/>
    <w:rsid w:val="002E65C8"/>
    <w:rsid w:val="0033155A"/>
    <w:rsid w:val="00345EE5"/>
    <w:rsid w:val="003621EE"/>
    <w:rsid w:val="00363B9B"/>
    <w:rsid w:val="00382640"/>
    <w:rsid w:val="00386185"/>
    <w:rsid w:val="00394436"/>
    <w:rsid w:val="00425DC1"/>
    <w:rsid w:val="0047141C"/>
    <w:rsid w:val="00491F88"/>
    <w:rsid w:val="004B6EE3"/>
    <w:rsid w:val="004E0623"/>
    <w:rsid w:val="005427CE"/>
    <w:rsid w:val="00576880"/>
    <w:rsid w:val="005C7467"/>
    <w:rsid w:val="005F0CC0"/>
    <w:rsid w:val="00607B69"/>
    <w:rsid w:val="0064529E"/>
    <w:rsid w:val="00706916"/>
    <w:rsid w:val="00711305"/>
    <w:rsid w:val="0075692C"/>
    <w:rsid w:val="007961E5"/>
    <w:rsid w:val="007977FF"/>
    <w:rsid w:val="007B0E83"/>
    <w:rsid w:val="007D466D"/>
    <w:rsid w:val="00832C90"/>
    <w:rsid w:val="00845980"/>
    <w:rsid w:val="00850F5C"/>
    <w:rsid w:val="008B7DB7"/>
    <w:rsid w:val="008D7217"/>
    <w:rsid w:val="009403D7"/>
    <w:rsid w:val="009456B1"/>
    <w:rsid w:val="0096616E"/>
    <w:rsid w:val="00974955"/>
    <w:rsid w:val="00981F54"/>
    <w:rsid w:val="00A100A0"/>
    <w:rsid w:val="00A252E4"/>
    <w:rsid w:val="00A33715"/>
    <w:rsid w:val="00A524DA"/>
    <w:rsid w:val="00A57437"/>
    <w:rsid w:val="00A607B2"/>
    <w:rsid w:val="00A91F94"/>
    <w:rsid w:val="00AA6CDB"/>
    <w:rsid w:val="00AB5898"/>
    <w:rsid w:val="00AD79DD"/>
    <w:rsid w:val="00AE75F9"/>
    <w:rsid w:val="00B337EA"/>
    <w:rsid w:val="00B34A38"/>
    <w:rsid w:val="00B41CF5"/>
    <w:rsid w:val="00B51A8D"/>
    <w:rsid w:val="00BF754F"/>
    <w:rsid w:val="00C252E0"/>
    <w:rsid w:val="00C6285A"/>
    <w:rsid w:val="00C724D7"/>
    <w:rsid w:val="00CC20E3"/>
    <w:rsid w:val="00D0187B"/>
    <w:rsid w:val="00D07652"/>
    <w:rsid w:val="00D62890"/>
    <w:rsid w:val="00D92317"/>
    <w:rsid w:val="00DC39B0"/>
    <w:rsid w:val="00DD0ED0"/>
    <w:rsid w:val="00DF51FA"/>
    <w:rsid w:val="00E375C9"/>
    <w:rsid w:val="00E67B27"/>
    <w:rsid w:val="00EA3821"/>
    <w:rsid w:val="00F518A1"/>
    <w:rsid w:val="00F53B0D"/>
    <w:rsid w:val="00FA68B5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277F7"/>
  <w15:chartTrackingRefBased/>
  <w15:docId w15:val="{5ECC7B16-B812-4B22-B672-88091C93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F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6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6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Clareks</dc:creator>
  <cp:keywords/>
  <cp:lastModifiedBy>Trevor R Soiles</cp:lastModifiedBy>
  <cp:revision>6</cp:revision>
  <dcterms:created xsi:type="dcterms:W3CDTF">2020-10-28T20:55:00Z</dcterms:created>
  <dcterms:modified xsi:type="dcterms:W3CDTF">2020-10-30T04:27:00Z</dcterms:modified>
</cp:coreProperties>
</file>